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B536" w14:textId="77777777" w:rsidR="007B536A" w:rsidRDefault="009A0CBC">
      <w:pPr>
        <w:pStyle w:val="Text"/>
      </w:pPr>
      <w:r>
        <w:tab/>
      </w:r>
      <w:r>
        <w:tab/>
      </w:r>
      <w:r>
        <w:tab/>
      </w:r>
      <w:r>
        <w:tab/>
      </w: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4"/>
        <w:gridCol w:w="3282"/>
        <w:gridCol w:w="3288"/>
      </w:tblGrid>
      <w:tr w:rsidR="007B536A" w14:paraId="4E4E7C79" w14:textId="77777777">
        <w:trPr>
          <w:trHeight w:val="443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C975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  <w:sz w:val="40"/>
                <w:szCs w:val="40"/>
              </w:rPr>
              <w:t>Zápis z porady starosty se zastupiteli městyse Choltice</w:t>
            </w:r>
          </w:p>
        </w:tc>
      </w:tr>
      <w:tr w:rsidR="007B536A" w14:paraId="3E1853C0" w14:textId="77777777">
        <w:trPr>
          <w:trHeight w:val="120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A082C" w14:textId="4038EFE7" w:rsidR="007B536A" w:rsidRDefault="00BB4F55">
            <w:pPr>
              <w:pStyle w:val="Text"/>
            </w:pPr>
            <w:r>
              <w:rPr>
                <w:b/>
                <w:bCs/>
                <w:sz w:val="28"/>
                <w:szCs w:val="28"/>
              </w:rPr>
              <w:t>Porada 14</w:t>
            </w:r>
            <w:r w:rsidR="009A0CBC">
              <w:rPr>
                <w:b/>
                <w:bCs/>
                <w:sz w:val="28"/>
                <w:szCs w:val="28"/>
              </w:rPr>
              <w:t>/2016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E84E22" w14:textId="77777777" w:rsidR="007B536A" w:rsidRDefault="009A0CBC">
            <w:pPr>
              <w:pStyle w:val="Text"/>
              <w:jc w:val="center"/>
            </w:pPr>
            <w:r>
              <w:rPr>
                <w:noProof/>
                <w:sz w:val="28"/>
                <w:szCs w:val="28"/>
                <w:lang w:eastAsia="cs-CZ"/>
              </w:rPr>
              <w:drawing>
                <wp:inline distT="0" distB="0" distL="0" distR="0" wp14:anchorId="0A3DAE41" wp14:editId="7B52A151">
                  <wp:extent cx="638175" cy="723900"/>
                  <wp:effectExtent l="0" t="0" r="0" b="0"/>
                  <wp:docPr id="1073741825" name="officeArt object" descr="Choltice zna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Choltice zna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239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A5981" w14:textId="4A840551" w:rsidR="007B536A" w:rsidRDefault="009A0CBC">
            <w:pPr>
              <w:pStyle w:val="Text"/>
              <w:jc w:val="right"/>
            </w:pPr>
            <w:r>
              <w:rPr>
                <w:b/>
                <w:bCs/>
                <w:sz w:val="28"/>
                <w:szCs w:val="28"/>
                <w:lang w:val="de-DE"/>
              </w:rPr>
              <w:t xml:space="preserve">Datum: </w:t>
            </w:r>
            <w:r w:rsidR="00BB4F55">
              <w:rPr>
                <w:b/>
                <w:bCs/>
                <w:sz w:val="28"/>
                <w:szCs w:val="28"/>
              </w:rPr>
              <w:t>31</w:t>
            </w:r>
            <w:r>
              <w:rPr>
                <w:b/>
                <w:bCs/>
                <w:sz w:val="28"/>
                <w:szCs w:val="28"/>
              </w:rPr>
              <w:t>. 10. 2016</w:t>
            </w:r>
          </w:p>
        </w:tc>
      </w:tr>
    </w:tbl>
    <w:p w14:paraId="4651B4D5" w14:textId="77777777" w:rsidR="007B536A" w:rsidRDefault="007B536A">
      <w:pPr>
        <w:pStyle w:val="Text"/>
        <w:widowControl w:val="0"/>
      </w:pPr>
    </w:p>
    <w:p w14:paraId="47931F2D" w14:textId="77777777" w:rsidR="007B536A" w:rsidRDefault="007B536A">
      <w:pPr>
        <w:pStyle w:val="Text"/>
        <w:rPr>
          <w:b/>
          <w:bCs/>
        </w:rPr>
      </w:pP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63"/>
        <w:gridCol w:w="556"/>
        <w:gridCol w:w="1378"/>
        <w:gridCol w:w="1289"/>
        <w:gridCol w:w="617"/>
        <w:gridCol w:w="2493"/>
        <w:gridCol w:w="558"/>
      </w:tblGrid>
      <w:tr w:rsidR="007B536A" w14:paraId="1376CE9A" w14:textId="77777777">
        <w:trPr>
          <w:trHeight w:val="295"/>
        </w:trPr>
        <w:tc>
          <w:tcPr>
            <w:tcW w:w="48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EC58" w14:textId="77777777" w:rsidR="007B536A" w:rsidRDefault="009A0CBC">
            <w:pPr>
              <w:pStyle w:val="Text"/>
              <w:tabs>
                <w:tab w:val="left" w:pos="1456"/>
              </w:tabs>
            </w:pPr>
            <w:r>
              <w:rPr>
                <w:b/>
                <w:bCs/>
              </w:rPr>
              <w:t xml:space="preserve">Přítomní: </w:t>
            </w:r>
          </w:p>
        </w:tc>
        <w:tc>
          <w:tcPr>
            <w:tcW w:w="495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AD47E" w14:textId="77777777" w:rsidR="007B536A" w:rsidRDefault="009A0CBC">
            <w:pPr>
              <w:pStyle w:val="Text"/>
              <w:tabs>
                <w:tab w:val="left" w:pos="1456"/>
              </w:tabs>
              <w:jc w:val="right"/>
            </w:pPr>
            <w:r>
              <w:rPr>
                <w:i/>
                <w:iCs/>
              </w:rPr>
              <w:t>P-přítomni, N-nepřítomni, O-omluveni</w:t>
            </w:r>
          </w:p>
        </w:tc>
      </w:tr>
      <w:tr w:rsidR="007B536A" w14:paraId="2F9430A6" w14:textId="77777777">
        <w:trPr>
          <w:trHeight w:val="295"/>
        </w:trPr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0A1D7" w14:textId="77777777" w:rsidR="007B536A" w:rsidRDefault="009A0CBC">
            <w:pPr>
              <w:pStyle w:val="Text"/>
              <w:jc w:val="right"/>
            </w:pPr>
            <w:r>
              <w:rPr>
                <w:b/>
                <w:bCs/>
              </w:rPr>
              <w:t>Starosta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DA246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: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4A38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Bolek Tomáš Mgr. (Bol)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72AAC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  <w:tc>
          <w:tcPr>
            <w:tcW w:w="24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CEAA4" w14:textId="77777777" w:rsidR="007B536A" w:rsidRDefault="007B536A"/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26D9E" w14:textId="77777777" w:rsidR="007B536A" w:rsidRDefault="007B536A"/>
        </w:tc>
      </w:tr>
      <w:tr w:rsidR="007B536A" w14:paraId="10F29393" w14:textId="77777777">
        <w:trPr>
          <w:trHeight w:val="29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B1982" w14:textId="77777777" w:rsidR="007B536A" w:rsidRDefault="009A0CBC">
            <w:pPr>
              <w:pStyle w:val="Text"/>
              <w:jc w:val="right"/>
            </w:pPr>
            <w:r>
              <w:rPr>
                <w:b/>
                <w:bCs/>
              </w:rPr>
              <w:t>Místostarosta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E7BD3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: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2133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Pavlík Jan Mgr.     (Pav)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6950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D5FE" w14:textId="77777777" w:rsidR="007B536A" w:rsidRDefault="007B536A"/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2007" w14:textId="77777777" w:rsidR="007B536A" w:rsidRDefault="007B536A"/>
        </w:tc>
      </w:tr>
      <w:tr w:rsidR="007B536A" w14:paraId="131453EA" w14:textId="77777777">
        <w:trPr>
          <w:trHeight w:val="29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1883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Augustinová Jana (Aug)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D3694" w14:textId="5C5CC085" w:rsidR="007B536A" w:rsidRDefault="009A0CBC">
            <w:pPr>
              <w:pStyle w:val="Text"/>
            </w:pPr>
            <w:r>
              <w:rPr>
                <w:b/>
                <w:bCs/>
              </w:rPr>
              <w:t xml:space="preserve"> </w:t>
            </w:r>
            <w:r w:rsidR="00BB4F55">
              <w:rPr>
                <w:b/>
                <w:bCs/>
              </w:rPr>
              <w:t>P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8F34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Fižová Vendula (FižV)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983A6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C5544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Horák M. Ing. (Hor)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FE300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</w:tr>
      <w:tr w:rsidR="007B536A" w14:paraId="12DC2A18" w14:textId="77777777">
        <w:trPr>
          <w:trHeight w:val="29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F47A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Čermák Jan (Čer)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6B632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A01D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Havlík Rud. Ing. (Hav)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34D6E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4716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Málek Jan Ing. (Mál)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CD78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</w:tr>
      <w:tr w:rsidR="007B536A" w14:paraId="6CECE7F9" w14:textId="77777777">
        <w:trPr>
          <w:trHeight w:val="29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7A8B9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Fižová Marie Ing. (FižM)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08F10" w14:textId="1696A628" w:rsidR="007B536A" w:rsidRDefault="00BB4F55">
            <w:pPr>
              <w:pStyle w:val="Text"/>
              <w:jc w:val="center"/>
            </w:pPr>
            <w:r>
              <w:rPr>
                <w:b/>
                <w:bCs/>
              </w:rPr>
              <w:t>O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01B9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Heřmanová Olga (Heř)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7F6CA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8277" w14:textId="77777777" w:rsidR="007B536A" w:rsidRDefault="009A0CBC">
            <w:pPr>
              <w:pStyle w:val="Text"/>
            </w:pPr>
            <w:r>
              <w:rPr>
                <w:b/>
                <w:bCs/>
                <w:i/>
                <w:iCs/>
              </w:rPr>
              <w:t>Minařík David (Min)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0FC53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P</w:t>
            </w:r>
          </w:p>
        </w:tc>
      </w:tr>
      <w:tr w:rsidR="007B536A" w14:paraId="0EE4D7B9" w14:textId="77777777">
        <w:trPr>
          <w:trHeight w:val="29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23FB" w14:textId="77777777" w:rsidR="007B536A" w:rsidRDefault="009A0CBC">
            <w:pPr>
              <w:pStyle w:val="Text"/>
              <w:jc w:val="right"/>
            </w:pPr>
            <w:r>
              <w:rPr>
                <w:b/>
                <w:bCs/>
              </w:rPr>
              <w:t>HOSTÉ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D3D02" w14:textId="77777777" w:rsidR="007B536A" w:rsidRDefault="009A0CBC">
            <w:pPr>
              <w:pStyle w:val="Text"/>
              <w:jc w:val="center"/>
            </w:pPr>
            <w:r>
              <w:rPr>
                <w:b/>
                <w:bCs/>
              </w:rPr>
              <w:t>:</w:t>
            </w:r>
          </w:p>
        </w:tc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A53FC" w14:textId="77777777" w:rsidR="007B536A" w:rsidRDefault="007B536A"/>
        </w:tc>
      </w:tr>
    </w:tbl>
    <w:p w14:paraId="4D667F29" w14:textId="77777777" w:rsidR="00C81B00" w:rsidRDefault="00C81B00" w:rsidP="00C81B0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0865B39" w14:textId="77777777" w:rsidR="00C81B00" w:rsidRDefault="00C81B00" w:rsidP="00C81B00">
      <w:pPr>
        <w:pStyle w:val="Default"/>
        <w:jc w:val="both"/>
        <w:rPr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Pozn.: Zveřejněna je upravená verze dokumentu z důvodu dodržení přiměřenosti rozsahu zveřejňovaných osobních údajů podle zákona č. 101/2000 Sb., o ochraně osobních údajů a o změně některých zákonů, ve znění pozdějších předpisů. </w:t>
      </w:r>
    </w:p>
    <w:p w14:paraId="7C347A44" w14:textId="77777777" w:rsidR="007B536A" w:rsidRDefault="007B536A">
      <w:pPr>
        <w:pStyle w:val="Text"/>
        <w:widowControl w:val="0"/>
        <w:rPr>
          <w:b/>
          <w:bCs/>
        </w:rPr>
      </w:pPr>
    </w:p>
    <w:p w14:paraId="04438D66" w14:textId="77777777" w:rsidR="007B536A" w:rsidRDefault="007B536A">
      <w:pPr>
        <w:pStyle w:val="Text"/>
      </w:pP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54"/>
      </w:tblGrid>
      <w:tr w:rsidR="007B536A" w14:paraId="08186599" w14:textId="77777777">
        <w:trPr>
          <w:trHeight w:val="295"/>
        </w:trPr>
        <w:tc>
          <w:tcPr>
            <w:tcW w:w="98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43DEC" w14:textId="77777777" w:rsidR="007B536A" w:rsidRDefault="009A0CBC">
            <w:pPr>
              <w:pStyle w:val="Text"/>
            </w:pPr>
            <w:r>
              <w:rPr>
                <w:b/>
                <w:bCs/>
              </w:rPr>
              <w:t>Program jednání:</w:t>
            </w:r>
          </w:p>
        </w:tc>
      </w:tr>
    </w:tbl>
    <w:p w14:paraId="2AFE5069" w14:textId="77777777" w:rsidR="007B536A" w:rsidRDefault="007B536A">
      <w:pPr>
        <w:pStyle w:val="Text"/>
        <w:widowControl w:val="0"/>
      </w:pPr>
    </w:p>
    <w:p w14:paraId="795F9DF7" w14:textId="77777777" w:rsidR="007B536A" w:rsidRDefault="009A0CBC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Plán porad a zasedání</w:t>
      </w:r>
    </w:p>
    <w:p w14:paraId="643BF40E" w14:textId="77777777" w:rsidR="007B536A" w:rsidRDefault="009A0CBC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Připomínky zastupitelů</w:t>
      </w:r>
    </w:p>
    <w:p w14:paraId="6B0EA981" w14:textId="77777777" w:rsidR="007B536A" w:rsidRDefault="009A0CBC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Stížnosti pana Káni</w:t>
      </w:r>
    </w:p>
    <w:p w14:paraId="2C89B3B3" w14:textId="77777777" w:rsidR="007B536A" w:rsidRDefault="009A0CBC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Rekonstrukce parkoviště DCHB 260</w:t>
      </w:r>
    </w:p>
    <w:p w14:paraId="39BF9AFE" w14:textId="77777777" w:rsidR="007B536A" w:rsidRDefault="009A0CBC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Rekonstrukce WC na úřadě</w:t>
      </w:r>
    </w:p>
    <w:p w14:paraId="0197595B" w14:textId="4F40497E" w:rsidR="007B536A" w:rsidRDefault="00BB4F55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Modernizace vzduchotechniky v kuchyni ZŠ</w:t>
      </w:r>
    </w:p>
    <w:p w14:paraId="7050591D" w14:textId="5A5B2735" w:rsidR="00BB4F55" w:rsidRDefault="00BB4F55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Nakládání s odpady v roce 2017</w:t>
      </w:r>
    </w:p>
    <w:p w14:paraId="7162120B" w14:textId="67FBE656" w:rsidR="00BB4F55" w:rsidRDefault="00BB4F55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Smlouva o zřízení věcného břemene – služebnosti EP-12-2002889/VB1 Choltice – přeložka nn – Městys</w:t>
      </w:r>
    </w:p>
    <w:p w14:paraId="04C83EB7" w14:textId="36ADA9FC" w:rsidR="00BB4F55" w:rsidRDefault="00BB4F55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Žádost o vyřešení rozporu ve vlastnictví pozemku p. č. 46/19 a 46/20 v k. ú. Ledec</w:t>
      </w:r>
    </w:p>
    <w:p w14:paraId="2E6A14D3" w14:textId="40616A66" w:rsidR="00BB4F55" w:rsidRDefault="00BB4F55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Žádost p. </w:t>
      </w:r>
      <w:r w:rsidRPr="009C37ED">
        <w:rPr>
          <w:b/>
          <w:bCs/>
          <w:highlight w:val="black"/>
        </w:rPr>
        <w:t>Zímy</w:t>
      </w:r>
      <w:r>
        <w:rPr>
          <w:b/>
          <w:bCs/>
        </w:rPr>
        <w:t xml:space="preserve"> o prodej pozemku p. č. 37/5 v k. ú. Ledec</w:t>
      </w:r>
    </w:p>
    <w:p w14:paraId="53996FC3" w14:textId="3084E79B" w:rsidR="00BB4F55" w:rsidRDefault="00BB4F55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Relaxační místo Glicerda</w:t>
      </w:r>
    </w:p>
    <w:p w14:paraId="743BADBB" w14:textId="2FD99668" w:rsidR="00BB4F55" w:rsidRDefault="00BB4F55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Kulturní a sportovní akce – Strašidla, Drakiáda, koncert A. Hrdého k 17. 11., Mladá vína, Mikulášský vlak, Advent na zámku</w:t>
      </w:r>
    </w:p>
    <w:p w14:paraId="0FC2D1EA" w14:textId="3FFBA738" w:rsidR="001102DB" w:rsidRDefault="001102DB">
      <w:pPr>
        <w:pStyle w:val="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1. čtení rozpočtu</w:t>
      </w:r>
    </w:p>
    <w:p w14:paraId="264B9AAD" w14:textId="77777777" w:rsidR="007B536A" w:rsidRDefault="007B536A">
      <w:pPr>
        <w:pStyle w:val="Text"/>
      </w:pPr>
    </w:p>
    <w:tbl>
      <w:tblPr>
        <w:tblW w:w="9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44"/>
      </w:tblGrid>
      <w:tr w:rsidR="007B536A" w14:paraId="01365A8C" w14:textId="77777777">
        <w:trPr>
          <w:trHeight w:val="295"/>
        </w:trPr>
        <w:tc>
          <w:tcPr>
            <w:tcW w:w="9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9B58B" w14:textId="77777777" w:rsidR="007B536A" w:rsidRDefault="009A0CBC">
            <w:pPr>
              <w:pStyle w:val="Text"/>
            </w:pPr>
            <w:r>
              <w:rPr>
                <w:b/>
                <w:bCs/>
              </w:rPr>
              <w:t>Průběh jednání a závěry:</w:t>
            </w:r>
          </w:p>
        </w:tc>
      </w:tr>
    </w:tbl>
    <w:p w14:paraId="1D3C5BC4" w14:textId="77777777" w:rsidR="007B536A" w:rsidRDefault="007B536A">
      <w:pPr>
        <w:pStyle w:val="Text"/>
        <w:widowControl w:val="0"/>
      </w:pPr>
    </w:p>
    <w:p w14:paraId="2F993CCE" w14:textId="77777777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t>add 1. Plán porad a zasedání</w:t>
      </w:r>
    </w:p>
    <w:p w14:paraId="3B0A6D0F" w14:textId="77777777" w:rsidR="007B536A" w:rsidRDefault="009A0CBC">
      <w:pPr>
        <w:pStyle w:val="Text"/>
        <w:jc w:val="both"/>
        <w:rPr>
          <w:rFonts w:ascii="Times" w:eastAsia="Times" w:hAnsi="Times" w:cs="Times"/>
          <w:i/>
          <w:iCs/>
        </w:rPr>
      </w:pPr>
      <w:r>
        <w:rPr>
          <w:rFonts w:ascii="Times" w:hAnsi="Times"/>
          <w:i/>
          <w:iCs/>
        </w:rPr>
        <w:t xml:space="preserve">14. 11. 2016 – porada – 2. čtení rozpočtu </w:t>
      </w:r>
    </w:p>
    <w:p w14:paraId="1A06BB9F" w14:textId="77777777" w:rsidR="007B536A" w:rsidRDefault="009A0CBC">
      <w:pPr>
        <w:pStyle w:val="Text"/>
        <w:jc w:val="both"/>
        <w:rPr>
          <w:rFonts w:ascii="Times" w:eastAsia="Times" w:hAnsi="Times" w:cs="Times"/>
          <w:i/>
          <w:iCs/>
        </w:rPr>
      </w:pPr>
      <w:r>
        <w:rPr>
          <w:rFonts w:ascii="Times" w:hAnsi="Times"/>
          <w:i/>
          <w:iCs/>
        </w:rPr>
        <w:t xml:space="preserve">21. 11. 2016 – </w:t>
      </w:r>
      <w:r>
        <w:rPr>
          <w:rFonts w:ascii="Times" w:hAnsi="Times"/>
          <w:i/>
          <w:iCs/>
          <w:lang w:val="es-ES_tradnl"/>
        </w:rPr>
        <w:t xml:space="preserve">porada </w:t>
      </w:r>
      <w:r>
        <w:rPr>
          <w:rFonts w:ascii="Times" w:hAnsi="Times"/>
          <w:i/>
          <w:iCs/>
        </w:rPr>
        <w:t>– 3. čtení rozpočtu (poslední před vyvěšením)</w:t>
      </w:r>
    </w:p>
    <w:p w14:paraId="0F58726B" w14:textId="77777777" w:rsidR="007B536A" w:rsidRDefault="009A0CBC">
      <w:pPr>
        <w:pStyle w:val="Text"/>
        <w:jc w:val="both"/>
        <w:rPr>
          <w:rFonts w:ascii="Times" w:eastAsia="Times" w:hAnsi="Times" w:cs="Times"/>
          <w:i/>
          <w:iCs/>
        </w:rPr>
      </w:pPr>
      <w:r>
        <w:rPr>
          <w:rFonts w:ascii="Times" w:hAnsi="Times"/>
          <w:i/>
          <w:iCs/>
        </w:rPr>
        <w:t>5. 12. 2016 – porada</w:t>
      </w:r>
    </w:p>
    <w:p w14:paraId="4F2A3A6D" w14:textId="77777777" w:rsidR="007B536A" w:rsidRDefault="009A0CBC">
      <w:pPr>
        <w:pStyle w:val="Text"/>
        <w:jc w:val="both"/>
        <w:rPr>
          <w:rFonts w:ascii="Times" w:eastAsia="Times" w:hAnsi="Times" w:cs="Times"/>
          <w:i/>
          <w:iCs/>
        </w:rPr>
      </w:pPr>
      <w:r>
        <w:rPr>
          <w:rFonts w:ascii="Times" w:hAnsi="Times"/>
          <w:i/>
          <w:iCs/>
        </w:rPr>
        <w:t>zasedání zastupitelstva 12. 12. 2016 v 18.00 hodin</w:t>
      </w:r>
    </w:p>
    <w:p w14:paraId="22105359" w14:textId="77777777" w:rsidR="007B536A" w:rsidRDefault="007B536A">
      <w:pPr>
        <w:pStyle w:val="Text"/>
        <w:jc w:val="both"/>
        <w:rPr>
          <w:i/>
          <w:iCs/>
        </w:rPr>
      </w:pPr>
    </w:p>
    <w:p w14:paraId="363CC29B" w14:textId="77777777" w:rsidR="009C37ED" w:rsidRDefault="009C37ED">
      <w:pPr>
        <w:pStyle w:val="Text"/>
        <w:jc w:val="both"/>
        <w:rPr>
          <w:i/>
          <w:iCs/>
        </w:rPr>
      </w:pPr>
    </w:p>
    <w:p w14:paraId="675A3873" w14:textId="77777777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lastRenderedPageBreak/>
        <w:t>add 2. Připomínky zastupitelů</w:t>
      </w:r>
    </w:p>
    <w:p w14:paraId="7E6B8E79" w14:textId="7CB2E9F9" w:rsidR="009A0CBC" w:rsidRDefault="00BB4F55">
      <w:pPr>
        <w:pStyle w:val="Text"/>
        <w:jc w:val="both"/>
        <w:rPr>
          <w:i/>
          <w:iCs/>
        </w:rPr>
      </w:pPr>
      <w:r>
        <w:rPr>
          <w:i/>
          <w:iCs/>
        </w:rPr>
        <w:t>D. Minařík poukázal na skácený sloup v Nádražní ulici – bude opraveno.</w:t>
      </w:r>
    </w:p>
    <w:p w14:paraId="1104B57B" w14:textId="77777777" w:rsidR="00BB4F55" w:rsidRDefault="00BB4F55">
      <w:pPr>
        <w:pStyle w:val="Text"/>
        <w:jc w:val="both"/>
        <w:rPr>
          <w:i/>
          <w:iCs/>
        </w:rPr>
      </w:pPr>
    </w:p>
    <w:p w14:paraId="76C701CB" w14:textId="4E91B08B" w:rsidR="00BB4F55" w:rsidRDefault="00BB4F55">
      <w:pPr>
        <w:pStyle w:val="Text"/>
        <w:jc w:val="both"/>
        <w:rPr>
          <w:i/>
          <w:iCs/>
        </w:rPr>
      </w:pPr>
      <w:r>
        <w:rPr>
          <w:i/>
          <w:iCs/>
        </w:rPr>
        <w:t>V. Fižová zmínila mládež, která s</w:t>
      </w:r>
      <w:r w:rsidR="001102DB">
        <w:rPr>
          <w:i/>
          <w:iCs/>
        </w:rPr>
        <w:t>edává na pomníku na hřbitově. Starosta přislíbil řešení v podobě kontaktu rodičů.</w:t>
      </w:r>
    </w:p>
    <w:p w14:paraId="2A6A642C" w14:textId="77777777" w:rsidR="001102DB" w:rsidRDefault="001102DB">
      <w:pPr>
        <w:pStyle w:val="Text"/>
        <w:jc w:val="both"/>
        <w:rPr>
          <w:i/>
          <w:iCs/>
        </w:rPr>
      </w:pPr>
    </w:p>
    <w:p w14:paraId="7F45B4DC" w14:textId="77777777" w:rsidR="009A0CBC" w:rsidRDefault="009A0CBC">
      <w:pPr>
        <w:pStyle w:val="Text"/>
        <w:jc w:val="both"/>
        <w:rPr>
          <w:i/>
          <w:iCs/>
        </w:rPr>
      </w:pPr>
      <w:r>
        <w:rPr>
          <w:i/>
          <w:iCs/>
        </w:rPr>
        <w:t>Ostatní zastupitelé bez připomínek.</w:t>
      </w:r>
    </w:p>
    <w:p w14:paraId="30385455" w14:textId="77777777" w:rsidR="007B536A" w:rsidRDefault="007B536A">
      <w:pPr>
        <w:pStyle w:val="Text"/>
        <w:jc w:val="both"/>
        <w:rPr>
          <w:i/>
          <w:iCs/>
        </w:rPr>
      </w:pPr>
    </w:p>
    <w:p w14:paraId="7C0816D1" w14:textId="77777777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t>add 3. Stížnosti pana Káni</w:t>
      </w:r>
    </w:p>
    <w:p w14:paraId="5D605D3D" w14:textId="5F2DAFC4" w:rsidR="007B536A" w:rsidRDefault="001102DB">
      <w:pPr>
        <w:pStyle w:val="Text"/>
        <w:jc w:val="both"/>
        <w:rPr>
          <w:i/>
          <w:iCs/>
        </w:rPr>
      </w:pPr>
      <w:r>
        <w:rPr>
          <w:i/>
          <w:iCs/>
        </w:rPr>
        <w:t>Starosta informoval, že v uplynulém týdnu nepodal p. Káňa žádné další stížnosti. Ostatní zastupitelé sdělili své zkušenosti s p. Káňou.</w:t>
      </w:r>
    </w:p>
    <w:p w14:paraId="54E5DD2D" w14:textId="77777777" w:rsidR="007B536A" w:rsidRDefault="007B536A">
      <w:pPr>
        <w:pStyle w:val="Text"/>
        <w:jc w:val="both"/>
        <w:rPr>
          <w:i/>
          <w:iCs/>
        </w:rPr>
      </w:pPr>
    </w:p>
    <w:p w14:paraId="1162F665" w14:textId="77777777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t>add 4. Rekonstrukce parkoviště DCHB 260</w:t>
      </w:r>
    </w:p>
    <w:p w14:paraId="1C933B83" w14:textId="7E96EE69" w:rsidR="007B536A" w:rsidRDefault="009A0CBC">
      <w:pPr>
        <w:pStyle w:val="Text"/>
        <w:jc w:val="both"/>
        <w:rPr>
          <w:i/>
          <w:iCs/>
        </w:rPr>
      </w:pPr>
      <w:r w:rsidRPr="0065317C">
        <w:rPr>
          <w:i/>
          <w:iCs/>
          <w:color w:val="auto"/>
        </w:rPr>
        <w:t xml:space="preserve">Starosta podal informace o </w:t>
      </w:r>
      <w:r w:rsidR="00653506" w:rsidRPr="0065317C">
        <w:rPr>
          <w:i/>
          <w:iCs/>
          <w:color w:val="auto"/>
        </w:rPr>
        <w:t xml:space="preserve">výstavbě </w:t>
      </w:r>
      <w:r w:rsidRPr="0065317C">
        <w:rPr>
          <w:i/>
          <w:iCs/>
          <w:color w:val="auto"/>
        </w:rPr>
        <w:t xml:space="preserve">parkoviště </w:t>
      </w:r>
      <w:r w:rsidR="00653506" w:rsidRPr="0065317C">
        <w:rPr>
          <w:i/>
          <w:iCs/>
          <w:color w:val="auto"/>
        </w:rPr>
        <w:t xml:space="preserve">ve dvoře </w:t>
      </w:r>
      <w:r w:rsidRPr="0065317C">
        <w:rPr>
          <w:i/>
          <w:iCs/>
          <w:color w:val="auto"/>
        </w:rPr>
        <w:t>DCHB čp. 260. Do</w:t>
      </w:r>
      <w:r w:rsidR="001102DB">
        <w:rPr>
          <w:i/>
          <w:iCs/>
          <w:color w:val="auto"/>
        </w:rPr>
        <w:t>šlo</w:t>
      </w:r>
      <w:r w:rsidRPr="0065317C">
        <w:rPr>
          <w:i/>
          <w:iCs/>
          <w:color w:val="auto"/>
        </w:rPr>
        <w:t xml:space="preserve"> k</w:t>
      </w:r>
      <w:r w:rsidR="001102DB">
        <w:rPr>
          <w:i/>
          <w:iCs/>
          <w:color w:val="auto"/>
        </w:rPr>
        <w:t>e</w:t>
      </w:r>
      <w:r w:rsidRPr="0065317C">
        <w:rPr>
          <w:i/>
          <w:iCs/>
          <w:color w:val="auto"/>
        </w:rPr>
        <w:t xml:space="preserve"> zpevnění části dvora a vytvoření parkovacích míst pro </w:t>
      </w:r>
      <w:r w:rsidR="00653506" w:rsidRPr="0065317C">
        <w:rPr>
          <w:i/>
          <w:iCs/>
          <w:color w:val="auto"/>
        </w:rPr>
        <w:t xml:space="preserve">obyvatele </w:t>
      </w:r>
      <w:r w:rsidRPr="0065317C">
        <w:rPr>
          <w:i/>
          <w:iCs/>
          <w:color w:val="auto"/>
        </w:rPr>
        <w:t>DCHB. Vznik</w:t>
      </w:r>
      <w:r w:rsidR="001102DB">
        <w:rPr>
          <w:i/>
          <w:iCs/>
          <w:color w:val="auto"/>
        </w:rPr>
        <w:t>ne parkovací plán</w:t>
      </w:r>
      <w:r w:rsidRPr="0065317C">
        <w:rPr>
          <w:i/>
          <w:iCs/>
          <w:color w:val="auto"/>
        </w:rPr>
        <w:t>, kdy si nájemníci</w:t>
      </w:r>
      <w:r>
        <w:rPr>
          <w:i/>
          <w:iCs/>
        </w:rPr>
        <w:t xml:space="preserve"> vyberou příslušné místo, kde budou chtít parkovat.</w:t>
      </w:r>
      <w:r w:rsidR="001102DB">
        <w:rPr>
          <w:i/>
          <w:iCs/>
        </w:rPr>
        <w:t xml:space="preserve"> Schůzka s nájemníky se uskuteční ve středu 2. 11. 2016.</w:t>
      </w:r>
    </w:p>
    <w:p w14:paraId="575EDA9E" w14:textId="77777777" w:rsidR="007B536A" w:rsidRDefault="007B536A">
      <w:pPr>
        <w:pStyle w:val="Text"/>
        <w:jc w:val="both"/>
      </w:pPr>
    </w:p>
    <w:p w14:paraId="6CF5CAEB" w14:textId="77777777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t>add 5. Rekonstrukce WC na úřadě</w:t>
      </w:r>
    </w:p>
    <w:p w14:paraId="2C768C50" w14:textId="1F050F2C" w:rsidR="007B536A" w:rsidRPr="0065317C" w:rsidRDefault="001102DB">
      <w:pPr>
        <w:pStyle w:val="Text"/>
        <w:jc w:val="both"/>
        <w:rPr>
          <w:rFonts w:ascii="Times" w:eastAsia="Times" w:hAnsi="Times" w:cs="Times"/>
          <w:i/>
          <w:iCs/>
          <w:color w:val="auto"/>
        </w:rPr>
      </w:pPr>
      <w:r>
        <w:rPr>
          <w:i/>
          <w:iCs/>
        </w:rPr>
        <w:t>Probíhá</w:t>
      </w:r>
      <w:r w:rsidR="009A0CBC">
        <w:rPr>
          <w:i/>
          <w:iCs/>
        </w:rPr>
        <w:t xml:space="preserve"> rekonstrukce WC na úřadě, probíhá dle projektu Ing. Pavliše. Toalety budou mj. </w:t>
      </w:r>
      <w:r w:rsidR="009A0CBC" w:rsidRPr="0065317C">
        <w:rPr>
          <w:i/>
          <w:iCs/>
          <w:color w:val="auto"/>
        </w:rPr>
        <w:t xml:space="preserve">rozšířeny i do patra, do místnosti po rozhlasu, </w:t>
      </w:r>
      <w:r w:rsidR="00653506" w:rsidRPr="0065317C">
        <w:rPr>
          <w:i/>
          <w:iCs/>
          <w:color w:val="auto"/>
        </w:rPr>
        <w:t xml:space="preserve">budou </w:t>
      </w:r>
      <w:r w:rsidR="009A0CBC" w:rsidRPr="0065317C">
        <w:rPr>
          <w:i/>
          <w:iCs/>
          <w:color w:val="auto"/>
        </w:rPr>
        <w:t>zmodernizovány.</w:t>
      </w:r>
    </w:p>
    <w:p w14:paraId="5A358CCD" w14:textId="77777777" w:rsidR="007B536A" w:rsidRDefault="007B536A">
      <w:pPr>
        <w:pStyle w:val="Text"/>
      </w:pPr>
    </w:p>
    <w:p w14:paraId="53678264" w14:textId="1CB7B15C" w:rsidR="007B536A" w:rsidRDefault="001102DB">
      <w:pPr>
        <w:pStyle w:val="Text"/>
        <w:jc w:val="both"/>
        <w:rPr>
          <w:b/>
          <w:bCs/>
        </w:rPr>
      </w:pPr>
      <w:r>
        <w:rPr>
          <w:b/>
          <w:bCs/>
        </w:rPr>
        <w:t>add 6</w:t>
      </w:r>
      <w:r w:rsidR="009A0CBC">
        <w:rPr>
          <w:b/>
          <w:bCs/>
        </w:rPr>
        <w:t>. Modernizace vzduchotechniky v kuchyni ZŠ</w:t>
      </w:r>
    </w:p>
    <w:p w14:paraId="4E1BDB48" w14:textId="17E0C38B" w:rsidR="001102DB" w:rsidRDefault="009A0CBC">
      <w:pPr>
        <w:pStyle w:val="Text"/>
        <w:jc w:val="both"/>
        <w:rPr>
          <w:i/>
          <w:iCs/>
          <w:color w:val="auto"/>
        </w:rPr>
      </w:pPr>
      <w:r w:rsidRPr="0065317C">
        <w:rPr>
          <w:i/>
          <w:iCs/>
          <w:color w:val="auto"/>
        </w:rPr>
        <w:t xml:space="preserve">Je nutné modernizovat vzduchotechniku v kuchyni ZŠ. </w:t>
      </w:r>
      <w:r w:rsidR="00653506" w:rsidRPr="0065317C">
        <w:rPr>
          <w:i/>
          <w:iCs/>
          <w:color w:val="auto"/>
        </w:rPr>
        <w:t xml:space="preserve">Firma M-Tech zpracovala studii s návrhem moderní vzduchotechniky s rekuperací; orientační cena je 1 050 000 Kč bez DPH. </w:t>
      </w:r>
      <w:r w:rsidR="001102DB">
        <w:rPr>
          <w:i/>
          <w:iCs/>
          <w:color w:val="auto"/>
        </w:rPr>
        <w:t>Byla doporučena ještě další firma, ACE Engeneering – bude zpracována projektová dokumentace, následně bude vypsáno výběrové řízení.</w:t>
      </w:r>
    </w:p>
    <w:p w14:paraId="7DE21461" w14:textId="77777777" w:rsidR="007B536A" w:rsidRDefault="007B536A">
      <w:pPr>
        <w:pStyle w:val="Text"/>
        <w:jc w:val="both"/>
        <w:rPr>
          <w:i/>
          <w:iCs/>
        </w:rPr>
      </w:pPr>
    </w:p>
    <w:p w14:paraId="16FB2E78" w14:textId="0335A43D" w:rsidR="001102DB" w:rsidRDefault="001102DB" w:rsidP="001102DB">
      <w:pPr>
        <w:pStyle w:val="Text"/>
        <w:jc w:val="both"/>
        <w:rPr>
          <w:b/>
          <w:bCs/>
        </w:rPr>
      </w:pPr>
      <w:r>
        <w:rPr>
          <w:b/>
          <w:bCs/>
        </w:rPr>
        <w:t>add 7. Nakládání s odpady v roce 2017</w:t>
      </w:r>
    </w:p>
    <w:p w14:paraId="483A1515" w14:textId="38A12561" w:rsidR="001102DB" w:rsidRPr="0065317C" w:rsidRDefault="001102DB" w:rsidP="001102DB">
      <w:pPr>
        <w:pStyle w:val="Text"/>
        <w:jc w:val="both"/>
        <w:rPr>
          <w:i/>
          <w:iCs/>
          <w:color w:val="auto"/>
        </w:rPr>
      </w:pPr>
      <w:r w:rsidRPr="0065317C">
        <w:rPr>
          <w:i/>
          <w:iCs/>
          <w:color w:val="auto"/>
        </w:rPr>
        <w:t>Byly</w:t>
      </w:r>
      <w:r>
        <w:rPr>
          <w:i/>
          <w:iCs/>
          <w:color w:val="auto"/>
        </w:rPr>
        <w:t xml:space="preserve"> opětovně</w:t>
      </w:r>
      <w:r w:rsidRPr="0065317C">
        <w:rPr>
          <w:i/>
          <w:iCs/>
          <w:color w:val="auto"/>
        </w:rPr>
        <w:t xml:space="preserve"> projednávány bonifikace ohledně svozu odpadu a jejich uplatnění</w:t>
      </w:r>
      <w:r>
        <w:rPr>
          <w:i/>
          <w:iCs/>
          <w:color w:val="auto"/>
        </w:rPr>
        <w:t>. Hledá se nejspravedlivější systém, a to i pro domovy pro seniory i pro bytovky.</w:t>
      </w:r>
    </w:p>
    <w:p w14:paraId="54DA2CFD" w14:textId="77777777" w:rsidR="001102DB" w:rsidRDefault="001102DB" w:rsidP="001102DB">
      <w:pPr>
        <w:pStyle w:val="Text"/>
        <w:jc w:val="both"/>
        <w:rPr>
          <w:i/>
          <w:iCs/>
        </w:rPr>
      </w:pPr>
    </w:p>
    <w:p w14:paraId="6534D981" w14:textId="2414570D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t xml:space="preserve">add 8. </w:t>
      </w:r>
      <w:r w:rsidR="001102DB">
        <w:rPr>
          <w:b/>
          <w:bCs/>
        </w:rPr>
        <w:t>Smlouva o zřízení věcného břemene – služebnosti EP-12-2002889/VB1 Choltice – přeložka nn - Městys</w:t>
      </w:r>
    </w:p>
    <w:p w14:paraId="378904E7" w14:textId="1A926154" w:rsidR="007B536A" w:rsidRPr="0065317C" w:rsidRDefault="001102DB">
      <w:pPr>
        <w:pStyle w:val="Text"/>
        <w:jc w:val="both"/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 xml:space="preserve">Starosta seznámil zastupitele se smlouvou o zřízení věcného břemene ohledně přeložky sloupu veřejného osvětlení v Severní ulici. </w:t>
      </w:r>
    </w:p>
    <w:p w14:paraId="1E8DDFFF" w14:textId="77777777" w:rsidR="007B536A" w:rsidRDefault="007B536A">
      <w:pPr>
        <w:pStyle w:val="Text"/>
        <w:jc w:val="both"/>
        <w:rPr>
          <w:i/>
          <w:iCs/>
        </w:rPr>
      </w:pPr>
    </w:p>
    <w:p w14:paraId="43D6F774" w14:textId="2D6C4FA3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t xml:space="preserve">add 9. </w:t>
      </w:r>
      <w:r w:rsidR="001102DB">
        <w:rPr>
          <w:b/>
          <w:bCs/>
        </w:rPr>
        <w:t>Žádost o vyřešení rozporu ve vlastnictví pozemku p. č. 46/19 a 46/20 v k. ú. Ledec</w:t>
      </w:r>
    </w:p>
    <w:p w14:paraId="28DFF15D" w14:textId="38B94CA8" w:rsidR="007B536A" w:rsidRPr="0065317C" w:rsidRDefault="00E14F93">
      <w:pPr>
        <w:pStyle w:val="Text"/>
        <w:jc w:val="both"/>
        <w:rPr>
          <w:i/>
          <w:iCs/>
          <w:color w:val="auto"/>
        </w:rPr>
      </w:pPr>
      <w:r w:rsidRPr="00456974">
        <w:rPr>
          <w:i/>
          <w:iCs/>
          <w:color w:val="auto"/>
        </w:rPr>
        <w:t xml:space="preserve">Pravděpodobně chybou KN byl k pozemkům p.č. 46/19 o výměře 80 m2 a p.č. 46/20o výměře 13 m2 zapsán jako vlastník městys Choltice. Dědička původního vlastníka předložila dokumenty, které bezpochyby prokazují </w:t>
      </w:r>
      <w:r w:rsidR="00E70F98" w:rsidRPr="00456974">
        <w:rPr>
          <w:i/>
          <w:iCs/>
          <w:color w:val="auto"/>
        </w:rPr>
        <w:t xml:space="preserve">její </w:t>
      </w:r>
      <w:r w:rsidRPr="00456974">
        <w:rPr>
          <w:i/>
          <w:iCs/>
          <w:color w:val="auto"/>
        </w:rPr>
        <w:t xml:space="preserve">vlastnické právo </w:t>
      </w:r>
      <w:r w:rsidR="00E70F98" w:rsidRPr="00456974">
        <w:rPr>
          <w:i/>
          <w:iCs/>
          <w:color w:val="auto"/>
        </w:rPr>
        <w:t>na pozemky. Městys pravděpodobně převede pozemky zpět na základě souhlasného prohlášení. Tento postup doporučila i právní zástupkyně městyse. Bude projednáváno a schvalováno na prosincovém zasedání.</w:t>
      </w:r>
    </w:p>
    <w:p w14:paraId="323B368E" w14:textId="77777777" w:rsidR="007B536A" w:rsidRDefault="007B536A">
      <w:pPr>
        <w:pStyle w:val="Text"/>
        <w:jc w:val="both"/>
        <w:rPr>
          <w:b/>
          <w:bCs/>
        </w:rPr>
      </w:pPr>
    </w:p>
    <w:p w14:paraId="24A8C126" w14:textId="4E899916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t xml:space="preserve">add 10. </w:t>
      </w:r>
      <w:r w:rsidR="001102DB">
        <w:rPr>
          <w:b/>
          <w:bCs/>
        </w:rPr>
        <w:t xml:space="preserve">Žádost p. </w:t>
      </w:r>
      <w:r w:rsidR="001102DB" w:rsidRPr="009C37ED">
        <w:rPr>
          <w:b/>
          <w:bCs/>
          <w:highlight w:val="black"/>
        </w:rPr>
        <w:t>Zímy</w:t>
      </w:r>
      <w:r w:rsidR="001102DB">
        <w:rPr>
          <w:b/>
          <w:bCs/>
        </w:rPr>
        <w:t xml:space="preserve"> o prodej pozemku p. č. 37/5 v k. ú. Ledec</w:t>
      </w:r>
    </w:p>
    <w:p w14:paraId="7906A74B" w14:textId="2BE37F68" w:rsidR="007B536A" w:rsidRPr="007D4F94" w:rsidRDefault="007D4F94">
      <w:pPr>
        <w:pStyle w:val="Text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P. </w:t>
      </w:r>
      <w:r w:rsidRPr="009C37ED">
        <w:rPr>
          <w:i/>
          <w:iCs/>
          <w:color w:val="auto"/>
          <w:highlight w:val="black"/>
        </w:rPr>
        <w:t>Zíma</w:t>
      </w:r>
      <w:r>
        <w:rPr>
          <w:i/>
          <w:iCs/>
          <w:color w:val="auto"/>
        </w:rPr>
        <w:t xml:space="preserve"> chce zakoupit pozemek p. č. 37/5 v k. ú. Ledec – zastupitelé souhlasí za cenu 30 Kč/m</w:t>
      </w:r>
      <w:r>
        <w:rPr>
          <w:i/>
          <w:iCs/>
          <w:color w:val="auto"/>
          <w:vertAlign w:val="superscript"/>
        </w:rPr>
        <w:t>2</w:t>
      </w:r>
      <w:r>
        <w:rPr>
          <w:i/>
          <w:iCs/>
          <w:color w:val="auto"/>
        </w:rPr>
        <w:t xml:space="preserve"> + za cenu dřeva (na pozemku jsou vzrost</w:t>
      </w:r>
      <w:bookmarkStart w:id="0" w:name="_GoBack"/>
      <w:bookmarkEnd w:id="0"/>
      <w:r>
        <w:rPr>
          <w:i/>
          <w:iCs/>
          <w:color w:val="auto"/>
        </w:rPr>
        <w:t>lé stromy).</w:t>
      </w:r>
    </w:p>
    <w:p w14:paraId="0F4CD5F2" w14:textId="77777777" w:rsidR="007B536A" w:rsidRDefault="007B536A">
      <w:pPr>
        <w:pStyle w:val="Text"/>
        <w:jc w:val="both"/>
        <w:rPr>
          <w:b/>
          <w:bCs/>
        </w:rPr>
      </w:pPr>
    </w:p>
    <w:p w14:paraId="11B85565" w14:textId="3850C837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</w:rPr>
        <w:t xml:space="preserve">add 11. </w:t>
      </w:r>
      <w:r w:rsidR="001102DB">
        <w:rPr>
          <w:b/>
          <w:bCs/>
        </w:rPr>
        <w:t>Relaxační místo Glicerda</w:t>
      </w:r>
    </w:p>
    <w:p w14:paraId="67B0CB2C" w14:textId="42829510" w:rsidR="007B536A" w:rsidRPr="0065317C" w:rsidRDefault="007D4F94">
      <w:pPr>
        <w:pStyle w:val="Text"/>
        <w:jc w:val="both"/>
        <w:rPr>
          <w:i/>
          <w:iCs/>
          <w:color w:val="auto"/>
        </w:rPr>
      </w:pPr>
      <w:r>
        <w:rPr>
          <w:i/>
          <w:iCs/>
          <w:color w:val="auto"/>
        </w:rPr>
        <w:t>Starosta seznámil s návrhem p</w:t>
      </w:r>
      <w:r w:rsidRPr="00456974">
        <w:rPr>
          <w:i/>
          <w:iCs/>
          <w:color w:val="auto"/>
        </w:rPr>
        <w:t xml:space="preserve">. </w:t>
      </w:r>
      <w:r w:rsidR="00DB57C2" w:rsidRPr="00456974">
        <w:rPr>
          <w:i/>
          <w:iCs/>
          <w:color w:val="auto"/>
        </w:rPr>
        <w:t>Pospíšila</w:t>
      </w:r>
      <w:r w:rsidRPr="00456974">
        <w:rPr>
          <w:i/>
          <w:iCs/>
          <w:color w:val="auto"/>
        </w:rPr>
        <w:t xml:space="preserve"> z Úval, který zde léta provozuje indiánský tábor na koupališti. </w:t>
      </w:r>
      <w:r w:rsidR="00DB57C2" w:rsidRPr="00456974">
        <w:rPr>
          <w:i/>
          <w:iCs/>
          <w:color w:val="auto"/>
        </w:rPr>
        <w:t xml:space="preserve">Navrhuje </w:t>
      </w:r>
      <w:r w:rsidRPr="00456974">
        <w:rPr>
          <w:i/>
          <w:iCs/>
          <w:color w:val="auto"/>
        </w:rPr>
        <w:t xml:space="preserve">vytvořit kruhové relaxační místo v okolí Glicerdy. </w:t>
      </w:r>
      <w:r w:rsidR="00DB57C2" w:rsidRPr="00456974">
        <w:rPr>
          <w:i/>
          <w:iCs/>
          <w:color w:val="auto"/>
        </w:rPr>
        <w:t xml:space="preserve">Náklady ponese městys, kromě jeho práce, kterou poskytne bezúplatně. </w:t>
      </w:r>
      <w:r w:rsidRPr="00456974">
        <w:rPr>
          <w:i/>
          <w:iCs/>
          <w:color w:val="auto"/>
        </w:rPr>
        <w:t>Zastupitelé souhlasí, upozornili jen na nutnost zabezpečení studen.</w:t>
      </w:r>
    </w:p>
    <w:p w14:paraId="47640D4B" w14:textId="77777777" w:rsidR="007B536A" w:rsidRDefault="007B536A">
      <w:pPr>
        <w:pStyle w:val="Text"/>
        <w:jc w:val="both"/>
        <w:rPr>
          <w:b/>
          <w:bCs/>
        </w:rPr>
      </w:pPr>
    </w:p>
    <w:p w14:paraId="645ED21B" w14:textId="06193118" w:rsidR="007B536A" w:rsidRDefault="009A0CBC">
      <w:pPr>
        <w:pStyle w:val="Text"/>
        <w:jc w:val="both"/>
        <w:rPr>
          <w:b/>
          <w:bCs/>
        </w:rPr>
      </w:pPr>
      <w:r>
        <w:rPr>
          <w:b/>
          <w:bCs/>
          <w:lang w:val="en-US"/>
        </w:rPr>
        <w:lastRenderedPageBreak/>
        <w:t>add 1</w:t>
      </w:r>
      <w:r w:rsidR="001102DB">
        <w:rPr>
          <w:b/>
          <w:bCs/>
        </w:rPr>
        <w:t>2</w:t>
      </w:r>
      <w:r>
        <w:rPr>
          <w:b/>
          <w:bCs/>
        </w:rPr>
        <w:t xml:space="preserve">. Kulturní a sportovní akce </w:t>
      </w:r>
      <w:r w:rsidR="001102DB">
        <w:rPr>
          <w:b/>
          <w:bCs/>
        </w:rPr>
        <w:t>–</w:t>
      </w:r>
      <w:r>
        <w:rPr>
          <w:b/>
          <w:bCs/>
        </w:rPr>
        <w:t xml:space="preserve"> Strašidla, Drakiáda, koncert A. Hrdého k 17. 11., Mladá vína, Mikulášský vlak, Advent na zámku</w:t>
      </w:r>
    </w:p>
    <w:p w14:paraId="082BC1B3" w14:textId="77777777" w:rsidR="00283CEC" w:rsidRPr="0065317C" w:rsidRDefault="00283CEC">
      <w:pPr>
        <w:pStyle w:val="Odstavecseseznamem"/>
        <w:numPr>
          <w:ilvl w:val="0"/>
          <w:numId w:val="4"/>
        </w:numPr>
        <w:jc w:val="both"/>
        <w:rPr>
          <w:rFonts w:ascii="Times" w:eastAsia="Times" w:hAnsi="Times" w:cs="Times"/>
          <w:i/>
          <w:iCs/>
          <w:color w:val="auto"/>
          <w:lang w:val="en-US"/>
        </w:rPr>
      </w:pPr>
      <w:r w:rsidRPr="0065317C">
        <w:rPr>
          <w:rFonts w:ascii="Times" w:hAnsi="Times"/>
          <w:i/>
          <w:iCs/>
          <w:color w:val="auto"/>
        </w:rPr>
        <w:t>5.</w:t>
      </w:r>
      <w:r w:rsidR="0065317C" w:rsidRPr="0065317C">
        <w:rPr>
          <w:rFonts w:ascii="Times" w:hAnsi="Times"/>
          <w:i/>
          <w:iCs/>
          <w:color w:val="auto"/>
        </w:rPr>
        <w:t xml:space="preserve"> </w:t>
      </w:r>
      <w:r w:rsidRPr="0065317C">
        <w:rPr>
          <w:rFonts w:ascii="Times" w:hAnsi="Times"/>
          <w:i/>
          <w:iCs/>
          <w:color w:val="auto"/>
        </w:rPr>
        <w:t>11. se uskuteční akce Strašidla na zámku</w:t>
      </w:r>
    </w:p>
    <w:p w14:paraId="11B2AFB8" w14:textId="77777777" w:rsidR="00283CEC" w:rsidRPr="0065317C" w:rsidRDefault="00283CEC">
      <w:pPr>
        <w:pStyle w:val="Odstavecseseznamem"/>
        <w:numPr>
          <w:ilvl w:val="0"/>
          <w:numId w:val="4"/>
        </w:numPr>
        <w:jc w:val="both"/>
        <w:rPr>
          <w:rFonts w:ascii="Times" w:eastAsia="Times" w:hAnsi="Times" w:cs="Times"/>
          <w:i/>
          <w:iCs/>
          <w:color w:val="auto"/>
          <w:lang w:val="en-US"/>
        </w:rPr>
      </w:pPr>
      <w:r w:rsidRPr="0065317C">
        <w:rPr>
          <w:rFonts w:ascii="Times" w:hAnsi="Times"/>
          <w:i/>
          <w:iCs/>
          <w:color w:val="auto"/>
        </w:rPr>
        <w:t>6.</w:t>
      </w:r>
      <w:r w:rsidR="0065317C" w:rsidRPr="0065317C">
        <w:rPr>
          <w:rFonts w:ascii="Times" w:hAnsi="Times"/>
          <w:i/>
          <w:iCs/>
          <w:color w:val="auto"/>
        </w:rPr>
        <w:t xml:space="preserve"> 11</w:t>
      </w:r>
      <w:r w:rsidRPr="0065317C">
        <w:rPr>
          <w:rFonts w:ascii="Times" w:hAnsi="Times"/>
          <w:i/>
          <w:iCs/>
          <w:color w:val="auto"/>
        </w:rPr>
        <w:t>. se bude konat Drakiáda</w:t>
      </w:r>
    </w:p>
    <w:p w14:paraId="0F0BE875" w14:textId="77777777" w:rsidR="00283CEC" w:rsidRPr="0065317C" w:rsidRDefault="00283CEC">
      <w:pPr>
        <w:pStyle w:val="Odstavecseseznamem"/>
        <w:numPr>
          <w:ilvl w:val="0"/>
          <w:numId w:val="4"/>
        </w:numPr>
        <w:jc w:val="both"/>
        <w:rPr>
          <w:rFonts w:ascii="Times" w:eastAsia="Times" w:hAnsi="Times" w:cs="Times"/>
          <w:i/>
          <w:iCs/>
          <w:color w:val="auto"/>
          <w:lang w:val="en-US"/>
        </w:rPr>
      </w:pPr>
      <w:r w:rsidRPr="0065317C">
        <w:rPr>
          <w:rFonts w:ascii="Times" w:hAnsi="Times"/>
          <w:i/>
          <w:iCs/>
          <w:color w:val="auto"/>
        </w:rPr>
        <w:t>17.</w:t>
      </w:r>
      <w:r w:rsidR="0065317C" w:rsidRPr="0065317C">
        <w:rPr>
          <w:rFonts w:ascii="Times" w:hAnsi="Times"/>
          <w:i/>
          <w:iCs/>
          <w:color w:val="auto"/>
        </w:rPr>
        <w:t xml:space="preserve"> </w:t>
      </w:r>
      <w:r w:rsidRPr="0065317C">
        <w:rPr>
          <w:rFonts w:ascii="Times" w:hAnsi="Times"/>
          <w:i/>
          <w:iCs/>
          <w:color w:val="auto"/>
        </w:rPr>
        <w:t>11. – koncert A. Hrdého v zámecké kapli</w:t>
      </w:r>
    </w:p>
    <w:p w14:paraId="56E19656" w14:textId="77777777" w:rsidR="00283CEC" w:rsidRPr="0065317C" w:rsidRDefault="00283CEC">
      <w:pPr>
        <w:pStyle w:val="Odstavecseseznamem"/>
        <w:numPr>
          <w:ilvl w:val="0"/>
          <w:numId w:val="4"/>
        </w:numPr>
        <w:jc w:val="both"/>
        <w:rPr>
          <w:rFonts w:ascii="Times" w:eastAsia="Times" w:hAnsi="Times" w:cs="Times"/>
          <w:i/>
          <w:iCs/>
          <w:color w:val="auto"/>
          <w:lang w:val="en-US"/>
        </w:rPr>
      </w:pPr>
      <w:r w:rsidRPr="0065317C">
        <w:rPr>
          <w:rFonts w:ascii="Times" w:hAnsi="Times"/>
          <w:i/>
          <w:iCs/>
          <w:color w:val="auto"/>
        </w:rPr>
        <w:t>25.</w:t>
      </w:r>
      <w:r w:rsidR="0065317C" w:rsidRPr="0065317C">
        <w:rPr>
          <w:rFonts w:ascii="Times" w:hAnsi="Times"/>
          <w:i/>
          <w:iCs/>
          <w:color w:val="auto"/>
        </w:rPr>
        <w:t xml:space="preserve"> </w:t>
      </w:r>
      <w:r w:rsidRPr="0065317C">
        <w:rPr>
          <w:rFonts w:ascii="Times" w:hAnsi="Times"/>
          <w:i/>
          <w:iCs/>
          <w:color w:val="auto"/>
        </w:rPr>
        <w:t>11. – akce Mladá vína spojená s promítáním filmu</w:t>
      </w:r>
    </w:p>
    <w:p w14:paraId="2751462C" w14:textId="77777777" w:rsidR="00283CEC" w:rsidRPr="0065317C" w:rsidRDefault="00283CEC">
      <w:pPr>
        <w:pStyle w:val="Odstavecseseznamem"/>
        <w:numPr>
          <w:ilvl w:val="0"/>
          <w:numId w:val="4"/>
        </w:numPr>
        <w:jc w:val="both"/>
        <w:rPr>
          <w:rFonts w:ascii="Times" w:eastAsia="Times" w:hAnsi="Times" w:cs="Times"/>
          <w:i/>
          <w:iCs/>
          <w:color w:val="auto"/>
          <w:lang w:val="en-US"/>
        </w:rPr>
      </w:pPr>
      <w:r w:rsidRPr="0065317C">
        <w:rPr>
          <w:rFonts w:ascii="Times" w:hAnsi="Times"/>
          <w:i/>
          <w:iCs/>
          <w:color w:val="auto"/>
        </w:rPr>
        <w:t>26.</w:t>
      </w:r>
      <w:r w:rsidR="0065317C" w:rsidRPr="0065317C">
        <w:rPr>
          <w:rFonts w:ascii="Times" w:hAnsi="Times"/>
          <w:i/>
          <w:iCs/>
          <w:color w:val="auto"/>
        </w:rPr>
        <w:t xml:space="preserve"> </w:t>
      </w:r>
      <w:r w:rsidRPr="0065317C">
        <w:rPr>
          <w:rFonts w:ascii="Times" w:hAnsi="Times"/>
          <w:i/>
          <w:iCs/>
          <w:color w:val="auto"/>
        </w:rPr>
        <w:t>11. – Mikulášský vlak</w:t>
      </w:r>
    </w:p>
    <w:p w14:paraId="73FDD328" w14:textId="77777777" w:rsidR="00283CEC" w:rsidRPr="007D4F94" w:rsidRDefault="00283CEC">
      <w:pPr>
        <w:pStyle w:val="Odstavecseseznamem"/>
        <w:numPr>
          <w:ilvl w:val="0"/>
          <w:numId w:val="4"/>
        </w:numPr>
        <w:jc w:val="both"/>
        <w:rPr>
          <w:rFonts w:ascii="Times" w:eastAsia="Times" w:hAnsi="Times" w:cs="Times"/>
          <w:i/>
          <w:iCs/>
          <w:color w:val="auto"/>
          <w:lang w:val="en-US"/>
        </w:rPr>
      </w:pPr>
      <w:r w:rsidRPr="0065317C">
        <w:rPr>
          <w:rFonts w:ascii="Times" w:hAnsi="Times"/>
          <w:i/>
          <w:iCs/>
          <w:color w:val="auto"/>
        </w:rPr>
        <w:t>3.</w:t>
      </w:r>
      <w:r w:rsidR="0065317C" w:rsidRPr="0065317C">
        <w:rPr>
          <w:rFonts w:ascii="Times" w:hAnsi="Times"/>
          <w:i/>
          <w:iCs/>
          <w:color w:val="auto"/>
        </w:rPr>
        <w:t xml:space="preserve"> </w:t>
      </w:r>
      <w:r w:rsidRPr="0065317C">
        <w:rPr>
          <w:rFonts w:ascii="Times" w:hAnsi="Times"/>
          <w:i/>
          <w:iCs/>
          <w:color w:val="auto"/>
        </w:rPr>
        <w:t>12. – Advent na zámku</w:t>
      </w:r>
    </w:p>
    <w:p w14:paraId="2871B248" w14:textId="77777777" w:rsidR="007D4F94" w:rsidRDefault="007D4F94" w:rsidP="007D4F94">
      <w:pPr>
        <w:jc w:val="both"/>
        <w:rPr>
          <w:rFonts w:ascii="Times" w:eastAsia="Times" w:hAnsi="Times" w:cs="Times"/>
          <w:i/>
          <w:iCs/>
        </w:rPr>
      </w:pPr>
    </w:p>
    <w:p w14:paraId="37251ACD" w14:textId="34412BA8" w:rsidR="007D4F94" w:rsidRPr="009443CB" w:rsidRDefault="007D4F94" w:rsidP="007D4F94">
      <w:pPr>
        <w:pStyle w:val="Text"/>
        <w:jc w:val="both"/>
        <w:rPr>
          <w:b/>
          <w:bCs/>
        </w:rPr>
      </w:pPr>
      <w:r>
        <w:rPr>
          <w:b/>
          <w:bCs/>
        </w:rPr>
        <w:t>add 13. 1. čtení rozpočtu</w:t>
      </w:r>
    </w:p>
    <w:p w14:paraId="5B79E0E4" w14:textId="0AEE91D4" w:rsidR="007D4F94" w:rsidRPr="007D4F94" w:rsidRDefault="00DB57C2" w:rsidP="007D4F94">
      <w:pPr>
        <w:jc w:val="both"/>
        <w:rPr>
          <w:rFonts w:ascii="Times" w:eastAsia="Times" w:hAnsi="Times" w:cs="Times"/>
          <w:i/>
          <w:iCs/>
        </w:rPr>
      </w:pPr>
      <w:r w:rsidRPr="00456974">
        <w:rPr>
          <w:i/>
          <w:iCs/>
          <w:lang w:val="cs-CZ"/>
        </w:rPr>
        <w:t>Zastupitelé</w:t>
      </w:r>
      <w:r w:rsidRPr="00456974">
        <w:rPr>
          <w:i/>
          <w:iCs/>
        </w:rPr>
        <w:t xml:space="preserve"> se</w:t>
      </w:r>
      <w:r w:rsidRPr="00456974">
        <w:rPr>
          <w:i/>
          <w:iCs/>
          <w:lang w:val="cs-CZ"/>
        </w:rPr>
        <w:t xml:space="preserve"> seznámili</w:t>
      </w:r>
      <w:r w:rsidRPr="00456974">
        <w:rPr>
          <w:i/>
          <w:iCs/>
        </w:rPr>
        <w:t xml:space="preserve"> s</w:t>
      </w:r>
      <w:r w:rsidRPr="00456974">
        <w:rPr>
          <w:i/>
          <w:iCs/>
          <w:lang w:val="cs-CZ"/>
        </w:rPr>
        <w:t xml:space="preserve"> prvním </w:t>
      </w:r>
      <w:r w:rsidR="009443CB" w:rsidRPr="00456974">
        <w:rPr>
          <w:i/>
          <w:iCs/>
          <w:lang w:val="cs-CZ"/>
        </w:rPr>
        <w:t>návrhem</w:t>
      </w:r>
      <w:r w:rsidRPr="00456974">
        <w:rPr>
          <w:i/>
          <w:iCs/>
          <w:lang w:val="cs-CZ"/>
        </w:rPr>
        <w:t xml:space="preserve"> rozpočtu</w:t>
      </w:r>
      <w:r w:rsidRPr="00456974">
        <w:rPr>
          <w:i/>
          <w:iCs/>
        </w:rPr>
        <w:t>.</w:t>
      </w:r>
    </w:p>
    <w:p w14:paraId="6B9AA92E" w14:textId="77777777" w:rsidR="007B536A" w:rsidRDefault="007B536A">
      <w:pPr>
        <w:pStyle w:val="Text"/>
        <w:jc w:val="both"/>
        <w:rPr>
          <w:i/>
          <w:iCs/>
        </w:rPr>
      </w:pPr>
    </w:p>
    <w:p w14:paraId="27592919" w14:textId="77777777" w:rsidR="007B536A" w:rsidRDefault="007B536A">
      <w:pPr>
        <w:pStyle w:val="Text"/>
        <w:jc w:val="both"/>
        <w:rPr>
          <w:i/>
          <w:iCs/>
        </w:rPr>
      </w:pPr>
    </w:p>
    <w:p w14:paraId="228A6067" w14:textId="77777777" w:rsidR="007B536A" w:rsidRDefault="007B536A">
      <w:pPr>
        <w:pStyle w:val="Text"/>
        <w:jc w:val="both"/>
        <w:rPr>
          <w:b/>
          <w:bCs/>
        </w:rPr>
      </w:pPr>
    </w:p>
    <w:p w14:paraId="31A10B5D" w14:textId="77777777" w:rsidR="007B536A" w:rsidRDefault="009A0CBC">
      <w:pPr>
        <w:pStyle w:val="Tex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Zapsala: Vendula Fižová</w:t>
      </w:r>
    </w:p>
    <w:sectPr w:rsidR="007B536A" w:rsidSect="004A0B3F">
      <w:pgSz w:w="11900" w:h="16840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EC397" w14:textId="77777777" w:rsidR="001D46D7" w:rsidRDefault="001D46D7">
      <w:r>
        <w:separator/>
      </w:r>
    </w:p>
  </w:endnote>
  <w:endnote w:type="continuationSeparator" w:id="0">
    <w:p w14:paraId="650FB260" w14:textId="77777777" w:rsidR="001D46D7" w:rsidRDefault="001D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14B6" w14:textId="77777777" w:rsidR="001D46D7" w:rsidRDefault="001D46D7">
      <w:r>
        <w:separator/>
      </w:r>
    </w:p>
  </w:footnote>
  <w:footnote w:type="continuationSeparator" w:id="0">
    <w:p w14:paraId="390EDD39" w14:textId="77777777" w:rsidR="001D46D7" w:rsidRDefault="001D4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A70"/>
    <w:multiLevelType w:val="hybridMultilevel"/>
    <w:tmpl w:val="8A3A4258"/>
    <w:numStyleLink w:val="Importovanstyl1"/>
  </w:abstractNum>
  <w:abstractNum w:abstractNumId="1" w15:restartNumberingAfterBreak="0">
    <w:nsid w:val="65506B94"/>
    <w:multiLevelType w:val="hybridMultilevel"/>
    <w:tmpl w:val="69D46674"/>
    <w:numStyleLink w:val="Importovanstyl3"/>
  </w:abstractNum>
  <w:abstractNum w:abstractNumId="2" w15:restartNumberingAfterBreak="0">
    <w:nsid w:val="6C900ED5"/>
    <w:multiLevelType w:val="hybridMultilevel"/>
    <w:tmpl w:val="8A3A4258"/>
    <w:styleLink w:val="Importovanstyl1"/>
    <w:lvl w:ilvl="0" w:tplc="8CFC1A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B4E7B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203818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1842B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9CAEB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20688C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F216A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1C11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4A19F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D6B7DC5"/>
    <w:multiLevelType w:val="hybridMultilevel"/>
    <w:tmpl w:val="69D46674"/>
    <w:styleLink w:val="Importovanstyl3"/>
    <w:lvl w:ilvl="0" w:tplc="FA88B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6CDD0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00ACB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7A019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DA908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BEC0F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42DC5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7A4E3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A4D74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6A"/>
    <w:rsid w:val="00025DA9"/>
    <w:rsid w:val="000C4E08"/>
    <w:rsid w:val="000F4A79"/>
    <w:rsid w:val="001102DB"/>
    <w:rsid w:val="001A1CF9"/>
    <w:rsid w:val="001B681B"/>
    <w:rsid w:val="001D46D7"/>
    <w:rsid w:val="00283CEC"/>
    <w:rsid w:val="00456974"/>
    <w:rsid w:val="004A0B3F"/>
    <w:rsid w:val="004F7639"/>
    <w:rsid w:val="0065317C"/>
    <w:rsid w:val="00653506"/>
    <w:rsid w:val="00782FA6"/>
    <w:rsid w:val="007A654F"/>
    <w:rsid w:val="007B536A"/>
    <w:rsid w:val="007B54C4"/>
    <w:rsid w:val="007C2AC8"/>
    <w:rsid w:val="007D4F94"/>
    <w:rsid w:val="00814CD8"/>
    <w:rsid w:val="00853196"/>
    <w:rsid w:val="009443CB"/>
    <w:rsid w:val="009A0CBC"/>
    <w:rsid w:val="009C37ED"/>
    <w:rsid w:val="00A42E84"/>
    <w:rsid w:val="00BB4F55"/>
    <w:rsid w:val="00BE4D45"/>
    <w:rsid w:val="00C073E7"/>
    <w:rsid w:val="00C81B00"/>
    <w:rsid w:val="00CE1FDF"/>
    <w:rsid w:val="00DB57C2"/>
    <w:rsid w:val="00E14F93"/>
    <w:rsid w:val="00E17BB5"/>
    <w:rsid w:val="00E70F98"/>
    <w:rsid w:val="00EE0DCE"/>
    <w:rsid w:val="00F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85228"/>
  <w15:docId w15:val="{BEFE7274-301F-45FF-84C9-D3156B81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A0B3F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0B3F"/>
    <w:rPr>
      <w:u w:val="single"/>
    </w:rPr>
  </w:style>
  <w:style w:type="paragraph" w:customStyle="1" w:styleId="Zhlavazpat">
    <w:name w:val="Záhlaví a zápatí"/>
    <w:rsid w:val="004A0B3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rsid w:val="004A0B3F"/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4A0B3F"/>
    <w:pPr>
      <w:numPr>
        <w:numId w:val="1"/>
      </w:numPr>
    </w:pPr>
  </w:style>
  <w:style w:type="paragraph" w:styleId="Odstavecseseznamem">
    <w:name w:val="List Paragraph"/>
    <w:rsid w:val="004A0B3F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Importovanstyl3">
    <w:name w:val="Importovaný styl 3"/>
    <w:rsid w:val="004A0B3F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CB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CBC"/>
    <w:rPr>
      <w:rFonts w:ascii="Lucida Grande CE" w:hAnsi="Lucida Grande CE" w:cs="Lucida Grande CE"/>
      <w:sz w:val="18"/>
      <w:szCs w:val="18"/>
      <w:lang w:val="en-US"/>
    </w:rPr>
  </w:style>
  <w:style w:type="paragraph" w:customStyle="1" w:styleId="Default">
    <w:name w:val="Default"/>
    <w:rsid w:val="00C81B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09EDC-2221-4021-8707-8F357813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Vendula Fižová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Fižová</dc:creator>
  <cp:lastModifiedBy>Tom</cp:lastModifiedBy>
  <cp:revision>5</cp:revision>
  <cp:lastPrinted>2016-12-08T15:32:00Z</cp:lastPrinted>
  <dcterms:created xsi:type="dcterms:W3CDTF">2016-12-08T14:44:00Z</dcterms:created>
  <dcterms:modified xsi:type="dcterms:W3CDTF">2016-12-08T15:34:00Z</dcterms:modified>
</cp:coreProperties>
</file>